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2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69"/>
        <w:gridCol w:w="253"/>
        <w:gridCol w:w="4604"/>
      </w:tblGrid>
      <w:tr w14:paraId="1B6A4E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27" w:hRule="exact"/>
        </w:trPr>
        <w:tc>
          <w:tcPr>
            <w:tcW w:w="4569" w:type="dxa"/>
          </w:tcPr>
          <w:p w14:paraId="4E039214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 id="ole_rId2" o:spid="_x0000_s1026" o:spt="75" type="#_x0000_t75" style="position:absolute;left:0pt;margin-left:90.25pt;margin-top:0.9pt;height:42.75pt;width:34pt;mso-wrap-distance-bottom:0pt;mso-wrap-distance-left:9pt;mso-wrap-distance-right:0pt;mso-wrap-distance-top:0pt;z-index:25166233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square"/>
                </v:shape>
                <o:OLEObject Type="Embed" ProgID="PBrush" ShapeID="ole_rId2" DrawAspect="Content" ObjectID="_1468075725" r:id="rId4">
                  <o:LockedField>false</o:LockedField>
                </o:OLEObject>
              </w:pict>
            </w:r>
          </w:p>
          <w:p w14:paraId="581AAE3F">
            <w:pPr>
              <w:pStyle w:val="7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186DCF7">
            <w:pPr>
              <w:pStyle w:val="7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mc:AlternateContent>
                <mc:Choice Requires="wpg">
                  <w:drawing>
                    <wp:anchor distT="12065" distB="6350" distL="9525" distR="13335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2155190</wp:posOffset>
                      </wp:positionV>
                      <wp:extent cx="2825115" cy="229235"/>
                      <wp:effectExtent l="3810" t="3175" r="3175" b="3175"/>
                      <wp:wrapNone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5280" cy="229320"/>
                                <a:chOff x="0" y="0"/>
                                <a:chExt cx="2825280" cy="229320"/>
                              </a:xfrm>
                            </wpg:grpSpPr>
                            <wps:wsp>
                              <wps:cNvPr id="2" name="Прямая соединительная линия 2"/>
                              <wps:cNvCnPr/>
                              <wps:spPr>
                                <a:xfrm>
                                  <a:off x="0" y="0"/>
                                  <a:ext cx="19800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>
                                  <a:off x="0" y="0"/>
                                  <a:ext cx="72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2621160" y="0"/>
                                  <a:ext cx="198720" cy="7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823840" y="0"/>
                                  <a:ext cx="1440" cy="22932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-6pt;margin-top:169.7pt;height:18.05pt;width:222.45pt;z-index:251659264;mso-width-relative:page;mso-height-relative:page;" coordsize="2825280,229320" o:gfxdata="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wJe4dwAAAAL&#10;AQAADwAAAAAAAAABACAAAAAiAAAAZHJzL2Rvd25yZXYueG1sUEsBAhQAFAAAAAgAh07iQCflJZiK&#10;AgAA4QkAAA4AAAAAAAAAAQAgAAAAKwEAAGRycy9lMm9Eb2MueG1sUEsFBgAAAAAGAAYAWQEAACcG&#10;AAAAAA==&#10;">
                      <o:lock v:ext="edit" aspectratio="f"/>
                      <v:line id="Прямая соединительная линия 2" o:spid="_x0000_s1026" o:spt="20" style="position:absolute;left:0;top:0;height:720;width:19800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Прямая соединительная линия 3" o:spid="_x0000_s1026" o:spt="20" style="position:absolute;left:0;top:0;height:229320;width:72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Прямая соединительная линия 4" o:spid="_x0000_s1026" o:spt="20" style="position:absolute;left:2621160;top:0;height:720;width:1987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Прямая соединительная линия 5" o:spid="_x0000_s1026" o:spt="20" style="position:absolute;left:2823840;top:0;height:229320;width:144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 w14:paraId="5FC1144B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772DECF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14:paraId="2663F55B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14:paraId="10F14842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14:paraId="7FFAAF03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33838289">
            <w:pPr>
              <w:pStyle w:val="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79A09E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14:paraId="025E1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D49A5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06618B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B96F1F1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drawing>
                <wp:anchor distT="0" distB="0" distL="0" distR="0" simplePos="0" relativeHeight="25166131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" w:type="dxa"/>
          </w:tcPr>
          <w:p w14:paraId="3A9AD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74851FF4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9132C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0" w:hRule="atLeast"/>
        </w:trPr>
        <w:tc>
          <w:tcPr>
            <w:tcW w:w="4569" w:type="dxa"/>
          </w:tcPr>
          <w:p w14:paraId="73889C1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установлении размера родительской платы за присмотр и уход 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14:paraId="762ACF32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21.01.2025 г №137-п</w:t>
            </w:r>
          </w:p>
        </w:tc>
        <w:tc>
          <w:tcPr>
            <w:tcW w:w="253" w:type="dxa"/>
          </w:tcPr>
          <w:p w14:paraId="4D47F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49386BBD">
            <w:pPr>
              <w:rPr>
                <w:rFonts w:ascii="Times New Roman" w:hAnsi="Times New Roman" w:cs="Times New Roman"/>
              </w:rPr>
            </w:pPr>
          </w:p>
          <w:p w14:paraId="63B83DC2">
            <w:pPr>
              <w:rPr>
                <w:rFonts w:ascii="Times New Roman" w:hAnsi="Times New Roman" w:cs="Times New Roman"/>
              </w:rPr>
            </w:pPr>
          </w:p>
          <w:p w14:paraId="5D62A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421433"/>
    <w:p w14:paraId="7CC48752">
      <w:pPr>
        <w:pStyle w:val="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r>
        <w:fldChar w:fldCharType="begin"/>
      </w:r>
      <w:r>
        <w:instrText xml:space="preserve"> HYPERLINK "https://internet.garant.ru/" \l "/document/70291362/entry/108764"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65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Оренбургской области от 5 ноября 2015 года № 866-п»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области:</w:t>
      </w:r>
    </w:p>
    <w:p w14:paraId="26BFA16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становить с 1 февраля 2025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 при функционировании в режиме: </w:t>
      </w:r>
    </w:p>
    <w:p w14:paraId="6EC4B9B1">
      <w:pPr>
        <w:pStyle w:val="1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8-10 часов  1 790 рублей</w:t>
      </w:r>
      <w:r>
        <w:rPr>
          <w:rFonts w:ascii="Times New Roman" w:hAnsi="Times New Roman"/>
          <w:sz w:val="28"/>
          <w:szCs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гигиены); </w:t>
      </w:r>
    </w:p>
    <w:p w14:paraId="3E1E4AB2">
      <w:pPr>
        <w:pStyle w:val="1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10-12 часов 1 990 рублей (</w:t>
      </w:r>
      <w:r>
        <w:rPr>
          <w:rFonts w:ascii="Times New Roman" w:hAnsi="Times New Roman"/>
          <w:sz w:val="28"/>
          <w:szCs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</w:t>
      </w:r>
      <w:r>
        <w:rPr>
          <w:rFonts w:ascii="Times New Roman" w:hAnsi="Times New Roman"/>
          <w:color w:val="000000"/>
          <w:sz w:val="28"/>
          <w:szCs w:val="28"/>
        </w:rPr>
        <w:t>ы).</w:t>
      </w:r>
    </w:p>
    <w:p w14:paraId="76850517">
      <w:pPr>
        <w:pStyle w:val="1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установлении 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14:paraId="039AE09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14:paraId="114E2BF9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после его официального опубликования, но не ранее 01.02.2025.</w:t>
      </w:r>
    </w:p>
    <w:p w14:paraId="52C7DA3C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32B68A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8476A5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180"/>
        <w:gridCol w:w="2603"/>
        <w:gridCol w:w="2061"/>
      </w:tblGrid>
      <w:tr w14:paraId="1F2B3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1" w:type="dxa"/>
            <w:gridSpan w:val="2"/>
            <w:shd w:val="clear" w:color="auto" w:fill="auto"/>
          </w:tcPr>
          <w:p w14:paraId="7871E89E"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14:paraId="76A7F2E6"/>
        </w:tc>
        <w:tc>
          <w:tcPr>
            <w:tcW w:w="2061" w:type="dxa"/>
            <w:shd w:val="clear" w:color="auto" w:fill="auto"/>
          </w:tcPr>
          <w:p w14:paraId="5815C064"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>В.Н. Шмарин</w:t>
            </w:r>
          </w:p>
        </w:tc>
      </w:tr>
      <w:tr w14:paraId="7491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11" w:type="dxa"/>
            <w:shd w:val="clear" w:color="auto" w:fill="auto"/>
          </w:tcPr>
          <w:p w14:paraId="5CBE3F8C"/>
        </w:tc>
        <w:tc>
          <w:tcPr>
            <w:tcW w:w="5783" w:type="dxa"/>
            <w:gridSpan w:val="2"/>
            <w:shd w:val="clear" w:color="auto" w:fill="auto"/>
          </w:tcPr>
          <w:p w14:paraId="18D1EF30">
            <w:pPr>
              <w:pStyle w:val="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character">
                    <wp:posOffset>117475</wp:posOffset>
                  </wp:positionH>
                  <wp:positionV relativeFrom="line">
                    <wp:posOffset>100330</wp:posOffset>
                  </wp:positionV>
                  <wp:extent cx="2877185" cy="1080135"/>
                  <wp:effectExtent l="0" t="0" r="0" b="0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14:paraId="72658B60">
            <w:pPr>
              <w:pStyle w:val="7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</w:t>
            </w:r>
          </w:p>
          <w:p w14:paraId="5918D526"/>
        </w:tc>
        <w:tc>
          <w:tcPr>
            <w:tcW w:w="2061" w:type="dxa"/>
            <w:shd w:val="clear" w:color="auto" w:fill="auto"/>
          </w:tcPr>
          <w:p w14:paraId="20AB03FB">
            <w:pPr>
              <w:jc w:val="both"/>
            </w:pPr>
          </w:p>
        </w:tc>
      </w:tr>
    </w:tbl>
    <w:p w14:paraId="7AEDB497"/>
    <w:p w14:paraId="11D69592"/>
    <w:p w14:paraId="066C795A"/>
    <w:p w14:paraId="3A56F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УО, образовательные организации, МКУ ЦБУ Оренбургского района, отделу по информационным технологиям, взаимодействию с общественностью и СМИ (в эл виде), прокуратуре района, в дело</w:t>
      </w:r>
    </w:p>
    <w:p w14:paraId="6F5ECD8D"/>
    <w:p w14:paraId="3604BBE2"/>
    <w:p w14:paraId="71F07C20"/>
    <w:p w14:paraId="02E5C24F"/>
    <w:p w14:paraId="109EE70D"/>
    <w:p w14:paraId="7D97B922"/>
    <w:p w14:paraId="2850B533"/>
    <w:p w14:paraId="6C270E2C"/>
    <w:p w14:paraId="4580171D"/>
    <w:p w14:paraId="00C4152B"/>
    <w:p w14:paraId="55D5188D"/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53B71"/>
    <w:multiLevelType w:val="multilevel"/>
    <w:tmpl w:val="4CD53B7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878" w:hanging="1095"/>
      </w:pPr>
      <w:rPr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563" w:hanging="78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563" w:hanging="78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863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863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223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83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583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94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D6"/>
    <w:rsid w:val="006B2A64"/>
    <w:rsid w:val="007F68D6"/>
    <w:rsid w:val="0083695D"/>
    <w:rsid w:val="534F7C58"/>
    <w:rsid w:val="63C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link w:val="10"/>
    <w:qFormat/>
    <w:uiPriority w:val="0"/>
    <w:rPr>
      <w:rFonts w:ascii="Segoe UI" w:hAnsi="Segoe UI" w:cs="Times New Roman"/>
      <w:sz w:val="18"/>
      <w:szCs w:val="18"/>
      <w:lang w:val="zh-CN" w:eastAsia="zh-CN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List"/>
    <w:basedOn w:val="7"/>
    <w:qFormat/>
    <w:uiPriority w:val="0"/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markedcontent"/>
    <w:qFormat/>
    <w:uiPriority w:val="0"/>
  </w:style>
  <w:style w:type="paragraph" w:customStyle="1" w:styleId="12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paragraph" w:styleId="14">
    <w:name w:val="List Paragraph"/>
    <w:basedOn w:val="1"/>
    <w:qFormat/>
    <w:uiPriority w:val="34"/>
    <w:pPr>
      <w:widowControl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table" w:customStyle="1" w:styleId="15">
    <w:name w:val="Сетка таблицы1"/>
    <w:basedOn w:val="3"/>
    <w:qFormat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419</Words>
  <Characters>2393</Characters>
  <Lines>19</Lines>
  <Paragraphs>5</Paragraphs>
  <TotalTime>6</TotalTime>
  <ScaleCrop>false</ScaleCrop>
  <LinksUpToDate>false</LinksUpToDate>
  <CharactersWithSpaces>2807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2025-01-21T12:27:00Z</dcterms:created>
  <dc:creator>Admin</dc:creator>
  <cp:lastModifiedBy>Юлия Никулина</cp:lastModifiedBy>
  <cp:lastPrinted>2025-02-06T10:59:19Z</cp:lastPrinted>
  <dcterms:modified xsi:type="dcterms:W3CDTF">2025-02-06T11:09:55Z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D2D884F0033546CB8B65C9CEC0F3A99A_13</vt:lpwstr>
  </property>
</Properties>
</file>